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4070" w14:textId="77777777" w:rsidR="00397958" w:rsidRDefault="00397958" w:rsidP="00397958">
      <w:pPr>
        <w:spacing w:after="0" w:line="240" w:lineRule="auto"/>
        <w:jc w:val="right"/>
        <w:rPr>
          <w:rFonts w:ascii="Times New Roman" w:hAnsi="Times New Roman" w:cs="Times New Roman"/>
          <w:sz w:val="24"/>
          <w:szCs w:val="24"/>
        </w:rPr>
      </w:pPr>
    </w:p>
    <w:p w14:paraId="5B71BB1D" w14:textId="77777777" w:rsidR="00CC7A6A" w:rsidRPr="00CC7A6A" w:rsidRDefault="00CC7A6A" w:rsidP="00CC7A6A">
      <w:pPr>
        <w:rPr>
          <w:rFonts w:ascii="Arial" w:eastAsia="Calibri" w:hAnsi="Arial" w:cs="Arial"/>
          <w:color w:val="1F497D" w:themeColor="text2"/>
          <w:sz w:val="28"/>
          <w:szCs w:val="28"/>
        </w:rPr>
      </w:pPr>
      <w:r w:rsidRPr="00CC7A6A">
        <w:rPr>
          <w:rFonts w:ascii="Arial" w:eastAsia="Calibri" w:hAnsi="Arial" w:cs="Arial"/>
          <w:color w:val="1F497D" w:themeColor="text2"/>
          <w:sz w:val="28"/>
          <w:szCs w:val="28"/>
        </w:rPr>
        <w:t>Insurance Coverage</w:t>
      </w:r>
    </w:p>
    <w:p w14:paraId="35242ABE" w14:textId="77777777" w:rsidR="00CC7A6A" w:rsidRPr="00CC7A6A" w:rsidRDefault="00CC7A6A" w:rsidP="00CC7A6A">
      <w:pPr>
        <w:rPr>
          <w:rFonts w:ascii="Arial" w:eastAsia="Calibri" w:hAnsi="Arial" w:cs="Arial"/>
          <w:sz w:val="24"/>
          <w:szCs w:val="24"/>
        </w:rPr>
      </w:pPr>
      <w:r w:rsidRPr="00CC7A6A">
        <w:rPr>
          <w:rFonts w:ascii="Arial" w:eastAsia="Calibri" w:hAnsi="Arial" w:cs="Arial"/>
          <w:sz w:val="24"/>
          <w:szCs w:val="24"/>
        </w:rPr>
        <w:t xml:space="preserve">All parishes have property and liability and workers compensation insurance coverage through the Dioceses policies with Catholic Mutual.  </w:t>
      </w:r>
    </w:p>
    <w:p w14:paraId="47888162" w14:textId="77777777" w:rsidR="00CC7A6A" w:rsidRPr="00CC7A6A" w:rsidRDefault="00CC7A6A" w:rsidP="00CC7A6A">
      <w:pPr>
        <w:rPr>
          <w:rFonts w:ascii="Arial" w:eastAsia="Calibri" w:hAnsi="Arial" w:cs="Arial"/>
          <w:sz w:val="24"/>
          <w:szCs w:val="24"/>
        </w:rPr>
      </w:pPr>
      <w:r w:rsidRPr="00CC7A6A">
        <w:rPr>
          <w:rFonts w:ascii="Arial" w:eastAsia="Calibri" w:hAnsi="Arial" w:cs="Arial"/>
          <w:sz w:val="24"/>
          <w:szCs w:val="24"/>
        </w:rPr>
        <w:t>Please note the following policies and limitations:</w:t>
      </w:r>
    </w:p>
    <w:p w14:paraId="5AD85595" w14:textId="77777777" w:rsidR="00CC7A6A" w:rsidRPr="00CC7A6A" w:rsidRDefault="00CC7A6A" w:rsidP="00CC7A6A">
      <w:pPr>
        <w:numPr>
          <w:ilvl w:val="0"/>
          <w:numId w:val="39"/>
        </w:numPr>
        <w:contextualSpacing/>
        <w:rPr>
          <w:rFonts w:ascii="Arial" w:eastAsia="Calibri" w:hAnsi="Arial" w:cs="Arial"/>
          <w:sz w:val="24"/>
          <w:szCs w:val="24"/>
        </w:rPr>
      </w:pPr>
      <w:r w:rsidRPr="00CC7A6A">
        <w:rPr>
          <w:rFonts w:ascii="Arial" w:eastAsia="Calibri" w:hAnsi="Arial" w:cs="Arial"/>
          <w:sz w:val="24"/>
          <w:szCs w:val="24"/>
        </w:rPr>
        <w:t>Each parish and institution operated by the Diocese has liability coverage for property damage and bodily injury.</w:t>
      </w:r>
    </w:p>
    <w:p w14:paraId="38580BD2" w14:textId="77777777" w:rsidR="00CC7A6A" w:rsidRPr="00CC7A6A" w:rsidRDefault="00CC7A6A" w:rsidP="00CC7A6A">
      <w:pPr>
        <w:numPr>
          <w:ilvl w:val="0"/>
          <w:numId w:val="39"/>
        </w:numPr>
        <w:contextualSpacing/>
        <w:rPr>
          <w:rFonts w:ascii="Arial" w:eastAsia="Calibri" w:hAnsi="Arial" w:cs="Arial"/>
          <w:sz w:val="24"/>
          <w:szCs w:val="24"/>
        </w:rPr>
      </w:pPr>
      <w:r w:rsidRPr="00CC7A6A">
        <w:rPr>
          <w:rFonts w:ascii="Arial" w:eastAsia="Calibri" w:hAnsi="Arial" w:cs="Arial"/>
          <w:sz w:val="24"/>
          <w:szCs w:val="24"/>
        </w:rPr>
        <w:t xml:space="preserve">If alcoholic beverages are served on parish property at a parish-sponsored event, the parish needs to follow the Alcoholic Beverages and Liquor Liability Policies.  If the event is not parish sponsored, the parish must be provided with a liability certificate including “host liquor liability” and must purchase special event coverage as described below. </w:t>
      </w:r>
    </w:p>
    <w:p w14:paraId="24CA5733" w14:textId="365D66E7" w:rsidR="00CC7A6A" w:rsidRPr="00CC7A6A" w:rsidRDefault="00CC7A6A" w:rsidP="00CC7A6A">
      <w:pPr>
        <w:numPr>
          <w:ilvl w:val="0"/>
          <w:numId w:val="39"/>
        </w:numPr>
        <w:contextualSpacing/>
        <w:rPr>
          <w:rFonts w:ascii="Arial" w:eastAsia="Calibri" w:hAnsi="Arial" w:cs="Arial"/>
          <w:sz w:val="24"/>
          <w:szCs w:val="24"/>
        </w:rPr>
      </w:pPr>
      <w:r w:rsidRPr="00CC7A6A">
        <w:rPr>
          <w:rFonts w:ascii="Arial" w:eastAsia="Calibri" w:hAnsi="Arial" w:cs="Arial"/>
          <w:sz w:val="24"/>
          <w:szCs w:val="24"/>
        </w:rPr>
        <w:t xml:space="preserve">Special event coverage policies are available for non-parish events through Catholic Mutual.  Forms for this coverage can be found on the Diocesan Website www.owensborodiocese.org </w:t>
      </w:r>
      <w:hyperlink r:id="rId7" w:history="1">
        <w:r w:rsidRPr="00057585">
          <w:rPr>
            <w:rStyle w:val="Hyperlink"/>
            <w:rFonts w:ascii="Arial" w:eastAsia="Calibri" w:hAnsi="Arial" w:cs="Arial"/>
            <w:b/>
            <w:sz w:val="24"/>
            <w:szCs w:val="24"/>
          </w:rPr>
          <w:t>LINK</w:t>
        </w:r>
      </w:hyperlink>
      <w:r w:rsidRPr="00CC7A6A">
        <w:rPr>
          <w:rFonts w:ascii="Arial" w:eastAsia="Calibri" w:hAnsi="Arial" w:cs="Arial"/>
          <w:color w:val="1F497D" w:themeColor="text2"/>
          <w:sz w:val="24"/>
          <w:szCs w:val="24"/>
        </w:rPr>
        <w:t xml:space="preserve">.  </w:t>
      </w:r>
      <w:r w:rsidRPr="00CC7A6A">
        <w:rPr>
          <w:rFonts w:ascii="Arial" w:eastAsia="Calibri" w:hAnsi="Arial" w:cs="Arial"/>
          <w:sz w:val="24"/>
          <w:szCs w:val="24"/>
        </w:rPr>
        <w:t>These forms need to be filled out and sent to the McRaith Catholic Center with a $95 check fifteen days before the event.  The McRaith Catholic Center will file this form with Catholic Mutual.  Any accident at this event needs to be reported to the Diocesan Office of Administration ASAP.</w:t>
      </w:r>
    </w:p>
    <w:p w14:paraId="01800630" w14:textId="1B13A898" w:rsidR="00CC7A6A" w:rsidRPr="00CC7A6A" w:rsidRDefault="00CC7A6A" w:rsidP="00CC7A6A">
      <w:pPr>
        <w:numPr>
          <w:ilvl w:val="0"/>
          <w:numId w:val="39"/>
        </w:numPr>
        <w:contextualSpacing/>
        <w:rPr>
          <w:rFonts w:ascii="Arial" w:eastAsia="Calibri" w:hAnsi="Arial" w:cs="Arial"/>
          <w:sz w:val="24"/>
          <w:szCs w:val="24"/>
        </w:rPr>
      </w:pPr>
      <w:r w:rsidRPr="00CC7A6A">
        <w:rPr>
          <w:rFonts w:ascii="Arial" w:eastAsia="Calibri" w:hAnsi="Arial" w:cs="Arial"/>
          <w:sz w:val="24"/>
          <w:szCs w:val="24"/>
        </w:rPr>
        <w:t>Any outside contractor who is providing a service to the parish must provide certificates of Worker’s Compensation and Liability Coverage before any work is authorized.  The limit must be a minimum of $</w:t>
      </w:r>
      <w:r w:rsidR="008F27FC">
        <w:rPr>
          <w:rFonts w:ascii="Arial" w:eastAsia="Calibri" w:hAnsi="Arial" w:cs="Arial"/>
          <w:sz w:val="24"/>
          <w:szCs w:val="24"/>
        </w:rPr>
        <w:t>2</w:t>
      </w:r>
      <w:r w:rsidRPr="00CC7A6A">
        <w:rPr>
          <w:rFonts w:ascii="Arial" w:eastAsia="Calibri" w:hAnsi="Arial" w:cs="Arial"/>
          <w:sz w:val="24"/>
          <w:szCs w:val="24"/>
        </w:rPr>
        <w:t>,000,000.</w:t>
      </w:r>
    </w:p>
    <w:p w14:paraId="277A1DEE" w14:textId="77777777" w:rsidR="00CC7A6A" w:rsidRPr="00CC7A6A" w:rsidRDefault="00CC7A6A" w:rsidP="00CC7A6A">
      <w:pPr>
        <w:numPr>
          <w:ilvl w:val="0"/>
          <w:numId w:val="39"/>
        </w:numPr>
        <w:contextualSpacing/>
        <w:rPr>
          <w:rFonts w:ascii="Arial" w:eastAsia="Calibri" w:hAnsi="Arial" w:cs="Arial"/>
          <w:sz w:val="24"/>
          <w:szCs w:val="24"/>
        </w:rPr>
      </w:pPr>
      <w:r w:rsidRPr="00CC7A6A">
        <w:rPr>
          <w:rFonts w:ascii="Arial" w:eastAsia="Calibri" w:hAnsi="Arial" w:cs="Arial"/>
          <w:sz w:val="24"/>
          <w:szCs w:val="24"/>
        </w:rPr>
        <w:t>All accidents must be reported to the McRaith Catholic Center without delay.</w:t>
      </w:r>
    </w:p>
    <w:p w14:paraId="12DAF9AC" w14:textId="77777777" w:rsidR="00CC7A6A" w:rsidRPr="00CC7A6A" w:rsidRDefault="00CC7A6A" w:rsidP="00CC7A6A">
      <w:pPr>
        <w:numPr>
          <w:ilvl w:val="0"/>
          <w:numId w:val="39"/>
        </w:numPr>
        <w:contextualSpacing/>
        <w:rPr>
          <w:rFonts w:ascii="Arial" w:eastAsia="Calibri" w:hAnsi="Arial" w:cs="Arial"/>
          <w:sz w:val="24"/>
          <w:szCs w:val="24"/>
        </w:rPr>
      </w:pPr>
      <w:r w:rsidRPr="00CC7A6A">
        <w:rPr>
          <w:rFonts w:ascii="Arial" w:eastAsia="Calibri" w:hAnsi="Arial" w:cs="Arial"/>
          <w:sz w:val="24"/>
          <w:szCs w:val="24"/>
        </w:rPr>
        <w:t>Each priest must have a minimum automobile coverage of $500,000 for each of the following: liability, bodily injury, uninsured motorist, and underinsured.</w:t>
      </w:r>
    </w:p>
    <w:p w14:paraId="75A90207" w14:textId="77777777" w:rsidR="001C1D3F" w:rsidRPr="001C1D3F" w:rsidRDefault="001C1D3F" w:rsidP="00C02DE0">
      <w:pPr>
        <w:spacing w:after="0" w:line="240" w:lineRule="auto"/>
        <w:rPr>
          <w:rFonts w:ascii="Arial" w:eastAsia="Calibri" w:hAnsi="Arial" w:cs="Arial"/>
          <w:sz w:val="24"/>
          <w:szCs w:val="24"/>
        </w:rPr>
      </w:pPr>
    </w:p>
    <w:sectPr w:rsidR="001C1D3F" w:rsidRPr="001C1D3F" w:rsidSect="00C13D3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3CA1" w14:textId="77777777" w:rsidR="00C13D3C" w:rsidRDefault="00C13D3C" w:rsidP="00C13D3C">
      <w:pPr>
        <w:spacing w:after="0" w:line="240" w:lineRule="auto"/>
      </w:pPr>
      <w:r>
        <w:separator/>
      </w:r>
    </w:p>
  </w:endnote>
  <w:endnote w:type="continuationSeparator" w:id="0">
    <w:p w14:paraId="55D9563E" w14:textId="77777777" w:rsidR="00C13D3C" w:rsidRDefault="00C13D3C" w:rsidP="00C1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9070" w14:textId="77777777" w:rsidR="00D93F41" w:rsidRDefault="00D9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099015"/>
      <w:docPartObj>
        <w:docPartGallery w:val="Page Numbers (Bottom of Page)"/>
        <w:docPartUnique/>
      </w:docPartObj>
    </w:sdtPr>
    <w:sdtEndPr>
      <w:rPr>
        <w:noProof/>
      </w:rPr>
    </w:sdtEndPr>
    <w:sdtContent>
      <w:p w14:paraId="43BC5398" w14:textId="77777777" w:rsidR="00C13D3C" w:rsidRDefault="00C13D3C">
        <w:pPr>
          <w:pStyle w:val="Footer"/>
          <w:jc w:val="center"/>
        </w:pPr>
        <w:r>
          <w:fldChar w:fldCharType="begin"/>
        </w:r>
        <w:r>
          <w:instrText xml:space="preserve"> PAGE   \* MERGEFORMAT </w:instrText>
        </w:r>
        <w:r>
          <w:fldChar w:fldCharType="separate"/>
        </w:r>
        <w:r w:rsidR="00605C5C">
          <w:rPr>
            <w:noProof/>
          </w:rPr>
          <w:t>1</w:t>
        </w:r>
        <w:r>
          <w:rPr>
            <w:noProof/>
          </w:rPr>
          <w:fldChar w:fldCharType="end"/>
        </w:r>
      </w:p>
    </w:sdtContent>
  </w:sdt>
  <w:p w14:paraId="2ADFC48A" w14:textId="77777777" w:rsidR="00C13D3C" w:rsidRDefault="00C13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542E" w14:textId="77777777" w:rsidR="00D93F41" w:rsidRDefault="00D9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B41F" w14:textId="77777777" w:rsidR="00C13D3C" w:rsidRDefault="00C13D3C" w:rsidP="00C13D3C">
      <w:pPr>
        <w:spacing w:after="0" w:line="240" w:lineRule="auto"/>
      </w:pPr>
      <w:r>
        <w:separator/>
      </w:r>
    </w:p>
  </w:footnote>
  <w:footnote w:type="continuationSeparator" w:id="0">
    <w:p w14:paraId="214E21E4" w14:textId="77777777" w:rsidR="00C13D3C" w:rsidRDefault="00C13D3C" w:rsidP="00C13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A60" w14:textId="77777777" w:rsidR="00D93F41" w:rsidRDefault="00D9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3454" w14:textId="77777777" w:rsidR="00605C5C" w:rsidRPr="00A87440" w:rsidRDefault="00605C5C" w:rsidP="00605C5C">
    <w:pPr>
      <w:spacing w:after="0" w:line="240" w:lineRule="auto"/>
      <w:jc w:val="right"/>
      <w:rPr>
        <w:rFonts w:ascii="Times New Roman" w:hAnsi="Times New Roman" w:cs="Times New Roman"/>
        <w:sz w:val="24"/>
        <w:szCs w:val="24"/>
      </w:rPr>
    </w:pPr>
    <w:r w:rsidRPr="00A87440">
      <w:rPr>
        <w:rFonts w:ascii="Times New Roman" w:hAnsi="Times New Roman" w:cs="Times New Roman"/>
        <w:sz w:val="24"/>
        <w:szCs w:val="24"/>
      </w:rPr>
      <w:t>ADMINISTRATION</w:t>
    </w:r>
    <w:r>
      <w:rPr>
        <w:rFonts w:ascii="Times New Roman" w:hAnsi="Times New Roman" w:cs="Times New Roman"/>
        <w:sz w:val="24"/>
        <w:szCs w:val="24"/>
      </w:rPr>
      <w:t xml:space="preserve"> &amp; FINANCE</w:t>
    </w:r>
    <w:r w:rsidRPr="00A87440">
      <w:rPr>
        <w:rFonts w:ascii="Times New Roman" w:hAnsi="Times New Roman" w:cs="Times New Roman"/>
        <w:sz w:val="24"/>
        <w:szCs w:val="24"/>
      </w:rPr>
      <w:t xml:space="preserve"> –</w:t>
    </w:r>
    <w:r>
      <w:rPr>
        <w:rFonts w:ascii="Times New Roman" w:hAnsi="Times New Roman" w:cs="Times New Roman"/>
        <w:sz w:val="24"/>
        <w:szCs w:val="24"/>
      </w:rPr>
      <w:t xml:space="preserve"> 19</w:t>
    </w:r>
  </w:p>
  <w:p w14:paraId="216A49B8" w14:textId="6E2509E4" w:rsidR="00605C5C" w:rsidRDefault="00D93F41" w:rsidP="00605C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5/1/2023</w:t>
    </w:r>
  </w:p>
  <w:p w14:paraId="059ACB19" w14:textId="77777777" w:rsidR="00605C5C" w:rsidRDefault="00605C5C">
    <w:pPr>
      <w:pStyle w:val="Header"/>
    </w:pPr>
  </w:p>
  <w:p w14:paraId="1E6E3ADA" w14:textId="77777777" w:rsidR="00605C5C" w:rsidRDefault="0060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89E9" w14:textId="77777777" w:rsidR="00D93F41" w:rsidRDefault="00D9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633"/>
    <w:multiLevelType w:val="hybridMultilevel"/>
    <w:tmpl w:val="6D8C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40A8"/>
    <w:multiLevelType w:val="hybridMultilevel"/>
    <w:tmpl w:val="D10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85F"/>
    <w:multiLevelType w:val="hybridMultilevel"/>
    <w:tmpl w:val="748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721F"/>
    <w:multiLevelType w:val="hybridMultilevel"/>
    <w:tmpl w:val="DF6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7956"/>
    <w:multiLevelType w:val="hybridMultilevel"/>
    <w:tmpl w:val="2048AFC0"/>
    <w:lvl w:ilvl="0" w:tplc="5E6830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574FE"/>
    <w:multiLevelType w:val="hybridMultilevel"/>
    <w:tmpl w:val="ED6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141"/>
    <w:multiLevelType w:val="hybridMultilevel"/>
    <w:tmpl w:val="2E10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A5F15"/>
    <w:multiLevelType w:val="hybridMultilevel"/>
    <w:tmpl w:val="DBF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C67DE"/>
    <w:multiLevelType w:val="hybridMultilevel"/>
    <w:tmpl w:val="02E8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60528"/>
    <w:multiLevelType w:val="hybridMultilevel"/>
    <w:tmpl w:val="228EE6F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BA47AE"/>
    <w:multiLevelType w:val="hybridMultilevel"/>
    <w:tmpl w:val="474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C1D08"/>
    <w:multiLevelType w:val="hybridMultilevel"/>
    <w:tmpl w:val="C8F2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516A"/>
    <w:multiLevelType w:val="hybridMultilevel"/>
    <w:tmpl w:val="AC5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706F6"/>
    <w:multiLevelType w:val="hybridMultilevel"/>
    <w:tmpl w:val="915E5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83065"/>
    <w:multiLevelType w:val="hybridMultilevel"/>
    <w:tmpl w:val="5EB4BAC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4757E"/>
    <w:multiLevelType w:val="hybridMultilevel"/>
    <w:tmpl w:val="739C99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8576C4"/>
    <w:multiLevelType w:val="hybridMultilevel"/>
    <w:tmpl w:val="3E68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248FC"/>
    <w:multiLevelType w:val="hybridMultilevel"/>
    <w:tmpl w:val="F4ECB5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3418B6"/>
    <w:multiLevelType w:val="hybridMultilevel"/>
    <w:tmpl w:val="4774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D276D"/>
    <w:multiLevelType w:val="hybridMultilevel"/>
    <w:tmpl w:val="B098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C20E9"/>
    <w:multiLevelType w:val="hybridMultilevel"/>
    <w:tmpl w:val="5F4693DE"/>
    <w:lvl w:ilvl="0" w:tplc="048491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925F7"/>
    <w:multiLevelType w:val="hybridMultilevel"/>
    <w:tmpl w:val="51FE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3452"/>
    <w:multiLevelType w:val="hybridMultilevel"/>
    <w:tmpl w:val="8348E324"/>
    <w:lvl w:ilvl="0" w:tplc="9A2896B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D0424"/>
    <w:multiLevelType w:val="hybridMultilevel"/>
    <w:tmpl w:val="11A648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D416C"/>
    <w:multiLevelType w:val="hybridMultilevel"/>
    <w:tmpl w:val="1980BA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91A5D"/>
    <w:multiLevelType w:val="hybridMultilevel"/>
    <w:tmpl w:val="1802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F5171"/>
    <w:multiLevelType w:val="hybridMultilevel"/>
    <w:tmpl w:val="53F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21674"/>
    <w:multiLevelType w:val="hybridMultilevel"/>
    <w:tmpl w:val="2DD473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1A4824"/>
    <w:multiLevelType w:val="hybridMultilevel"/>
    <w:tmpl w:val="7E6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D1229"/>
    <w:multiLevelType w:val="hybridMultilevel"/>
    <w:tmpl w:val="8D56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9744C"/>
    <w:multiLevelType w:val="hybridMultilevel"/>
    <w:tmpl w:val="D3F6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926EB"/>
    <w:multiLevelType w:val="hybridMultilevel"/>
    <w:tmpl w:val="69BA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25062"/>
    <w:multiLevelType w:val="hybridMultilevel"/>
    <w:tmpl w:val="78DC321A"/>
    <w:lvl w:ilvl="0" w:tplc="D1880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85140C"/>
    <w:multiLevelType w:val="hybridMultilevel"/>
    <w:tmpl w:val="A5CC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97C1E"/>
    <w:multiLevelType w:val="hybridMultilevel"/>
    <w:tmpl w:val="468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E23A0"/>
    <w:multiLevelType w:val="hybridMultilevel"/>
    <w:tmpl w:val="D3B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C5998"/>
    <w:multiLevelType w:val="hybridMultilevel"/>
    <w:tmpl w:val="AC1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62D0F"/>
    <w:multiLevelType w:val="hybridMultilevel"/>
    <w:tmpl w:val="934C7124"/>
    <w:lvl w:ilvl="0" w:tplc="DD20AA7A">
      <w:start w:val="1"/>
      <w:numFmt w:val="bullet"/>
      <w:lvlText w:val="•"/>
      <w:lvlJc w:val="left"/>
      <w:pPr>
        <w:ind w:left="840" w:hanging="360"/>
      </w:pPr>
      <w:rPr>
        <w:rFonts w:ascii="Times New Roman" w:eastAsia="Times New Roman" w:hAnsi="Times New Roman" w:hint="default"/>
        <w:w w:val="130"/>
        <w:sz w:val="24"/>
        <w:szCs w:val="24"/>
      </w:rPr>
    </w:lvl>
    <w:lvl w:ilvl="1" w:tplc="97C4CE3A">
      <w:start w:val="1"/>
      <w:numFmt w:val="bullet"/>
      <w:lvlText w:val="•"/>
      <w:lvlJc w:val="left"/>
      <w:pPr>
        <w:ind w:left="1644" w:hanging="360"/>
      </w:pPr>
      <w:rPr>
        <w:rFonts w:hint="default"/>
      </w:rPr>
    </w:lvl>
    <w:lvl w:ilvl="2" w:tplc="2674890E">
      <w:start w:val="1"/>
      <w:numFmt w:val="bullet"/>
      <w:lvlText w:val="•"/>
      <w:lvlJc w:val="left"/>
      <w:pPr>
        <w:ind w:left="2448" w:hanging="360"/>
      </w:pPr>
      <w:rPr>
        <w:rFonts w:hint="default"/>
      </w:rPr>
    </w:lvl>
    <w:lvl w:ilvl="3" w:tplc="3FAC03FC">
      <w:start w:val="1"/>
      <w:numFmt w:val="bullet"/>
      <w:lvlText w:val="•"/>
      <w:lvlJc w:val="left"/>
      <w:pPr>
        <w:ind w:left="3252" w:hanging="360"/>
      </w:pPr>
      <w:rPr>
        <w:rFonts w:hint="default"/>
      </w:rPr>
    </w:lvl>
    <w:lvl w:ilvl="4" w:tplc="5600D52E">
      <w:start w:val="1"/>
      <w:numFmt w:val="bullet"/>
      <w:lvlText w:val="•"/>
      <w:lvlJc w:val="left"/>
      <w:pPr>
        <w:ind w:left="4056" w:hanging="360"/>
      </w:pPr>
      <w:rPr>
        <w:rFonts w:hint="default"/>
      </w:rPr>
    </w:lvl>
    <w:lvl w:ilvl="5" w:tplc="F04E7582">
      <w:start w:val="1"/>
      <w:numFmt w:val="bullet"/>
      <w:lvlText w:val="•"/>
      <w:lvlJc w:val="left"/>
      <w:pPr>
        <w:ind w:left="4860" w:hanging="360"/>
      </w:pPr>
      <w:rPr>
        <w:rFonts w:hint="default"/>
      </w:rPr>
    </w:lvl>
    <w:lvl w:ilvl="6" w:tplc="94C00D7E">
      <w:start w:val="1"/>
      <w:numFmt w:val="bullet"/>
      <w:lvlText w:val="•"/>
      <w:lvlJc w:val="left"/>
      <w:pPr>
        <w:ind w:left="5664" w:hanging="360"/>
      </w:pPr>
      <w:rPr>
        <w:rFonts w:hint="default"/>
      </w:rPr>
    </w:lvl>
    <w:lvl w:ilvl="7" w:tplc="F9524C14">
      <w:start w:val="1"/>
      <w:numFmt w:val="bullet"/>
      <w:lvlText w:val="•"/>
      <w:lvlJc w:val="left"/>
      <w:pPr>
        <w:ind w:left="6468" w:hanging="360"/>
      </w:pPr>
      <w:rPr>
        <w:rFonts w:hint="default"/>
      </w:rPr>
    </w:lvl>
    <w:lvl w:ilvl="8" w:tplc="050E4416">
      <w:start w:val="1"/>
      <w:numFmt w:val="bullet"/>
      <w:lvlText w:val="•"/>
      <w:lvlJc w:val="left"/>
      <w:pPr>
        <w:ind w:left="7272" w:hanging="360"/>
      </w:pPr>
      <w:rPr>
        <w:rFonts w:hint="default"/>
      </w:rPr>
    </w:lvl>
  </w:abstractNum>
  <w:abstractNum w:abstractNumId="38" w15:restartNumberingAfterBreak="0">
    <w:nsid w:val="7A404CB5"/>
    <w:multiLevelType w:val="hybridMultilevel"/>
    <w:tmpl w:val="E218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29147">
    <w:abstractNumId w:val="0"/>
  </w:num>
  <w:num w:numId="2" w16cid:durableId="1455294787">
    <w:abstractNumId w:val="7"/>
  </w:num>
  <w:num w:numId="3" w16cid:durableId="1246960656">
    <w:abstractNumId w:val="25"/>
  </w:num>
  <w:num w:numId="4" w16cid:durableId="722411455">
    <w:abstractNumId w:val="30"/>
  </w:num>
  <w:num w:numId="5" w16cid:durableId="80874675">
    <w:abstractNumId w:val="10"/>
  </w:num>
  <w:num w:numId="6" w16cid:durableId="1255015988">
    <w:abstractNumId w:val="13"/>
  </w:num>
  <w:num w:numId="7" w16cid:durableId="466166228">
    <w:abstractNumId w:val="31"/>
  </w:num>
  <w:num w:numId="8" w16cid:durableId="991953668">
    <w:abstractNumId w:val="37"/>
  </w:num>
  <w:num w:numId="9" w16cid:durableId="1862937991">
    <w:abstractNumId w:val="26"/>
  </w:num>
  <w:num w:numId="10" w16cid:durableId="663897968">
    <w:abstractNumId w:val="16"/>
  </w:num>
  <w:num w:numId="11" w16cid:durableId="78405053">
    <w:abstractNumId w:val="18"/>
  </w:num>
  <w:num w:numId="12" w16cid:durableId="924732010">
    <w:abstractNumId w:val="8"/>
  </w:num>
  <w:num w:numId="13" w16cid:durableId="1723863070">
    <w:abstractNumId w:val="35"/>
  </w:num>
  <w:num w:numId="14" w16cid:durableId="529227052">
    <w:abstractNumId w:val="36"/>
  </w:num>
  <w:num w:numId="15" w16cid:durableId="410741088">
    <w:abstractNumId w:val="32"/>
  </w:num>
  <w:num w:numId="16" w16cid:durableId="2056351356">
    <w:abstractNumId w:val="22"/>
  </w:num>
  <w:num w:numId="17" w16cid:durableId="1727489414">
    <w:abstractNumId w:val="24"/>
  </w:num>
  <w:num w:numId="18" w16cid:durableId="1065908710">
    <w:abstractNumId w:val="14"/>
  </w:num>
  <w:num w:numId="19" w16cid:durableId="424040354">
    <w:abstractNumId w:val="27"/>
  </w:num>
  <w:num w:numId="20" w16cid:durableId="1040787439">
    <w:abstractNumId w:val="23"/>
  </w:num>
  <w:num w:numId="21" w16cid:durableId="760226739">
    <w:abstractNumId w:val="15"/>
  </w:num>
  <w:num w:numId="22" w16cid:durableId="1914196953">
    <w:abstractNumId w:val="9"/>
  </w:num>
  <w:num w:numId="23" w16cid:durableId="1844583881">
    <w:abstractNumId w:val="17"/>
  </w:num>
  <w:num w:numId="24" w16cid:durableId="1478886443">
    <w:abstractNumId w:val="11"/>
  </w:num>
  <w:num w:numId="25" w16cid:durableId="1532955020">
    <w:abstractNumId w:val="2"/>
  </w:num>
  <w:num w:numId="26" w16cid:durableId="1257591705">
    <w:abstractNumId w:val="6"/>
  </w:num>
  <w:num w:numId="27" w16cid:durableId="1227107216">
    <w:abstractNumId w:val="19"/>
  </w:num>
  <w:num w:numId="28" w16cid:durableId="311452152">
    <w:abstractNumId w:val="12"/>
  </w:num>
  <w:num w:numId="29" w16cid:durableId="1162618666">
    <w:abstractNumId w:val="29"/>
  </w:num>
  <w:num w:numId="30" w16cid:durableId="1605452736">
    <w:abstractNumId w:val="1"/>
  </w:num>
  <w:num w:numId="31" w16cid:durableId="645474213">
    <w:abstractNumId w:val="28"/>
  </w:num>
  <w:num w:numId="32" w16cid:durableId="641807791">
    <w:abstractNumId w:val="33"/>
  </w:num>
  <w:num w:numId="33" w16cid:durableId="887960894">
    <w:abstractNumId w:val="5"/>
  </w:num>
  <w:num w:numId="34" w16cid:durableId="1376001881">
    <w:abstractNumId w:val="3"/>
  </w:num>
  <w:num w:numId="35" w16cid:durableId="1101071109">
    <w:abstractNumId w:val="20"/>
  </w:num>
  <w:num w:numId="36" w16cid:durableId="1550458883">
    <w:abstractNumId w:val="4"/>
  </w:num>
  <w:num w:numId="37" w16cid:durableId="1648781420">
    <w:abstractNumId w:val="38"/>
  </w:num>
  <w:num w:numId="38" w16cid:durableId="11229623">
    <w:abstractNumId w:val="34"/>
  </w:num>
  <w:num w:numId="39" w16cid:durableId="12773235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440"/>
    <w:rsid w:val="00057585"/>
    <w:rsid w:val="001C1D3F"/>
    <w:rsid w:val="001E197D"/>
    <w:rsid w:val="00334182"/>
    <w:rsid w:val="00397958"/>
    <w:rsid w:val="003B72D2"/>
    <w:rsid w:val="004C2080"/>
    <w:rsid w:val="004D4E0A"/>
    <w:rsid w:val="005337B9"/>
    <w:rsid w:val="00542781"/>
    <w:rsid w:val="00605C5C"/>
    <w:rsid w:val="0064133E"/>
    <w:rsid w:val="007C70A3"/>
    <w:rsid w:val="00810F29"/>
    <w:rsid w:val="008F27FC"/>
    <w:rsid w:val="00931DA3"/>
    <w:rsid w:val="009D132C"/>
    <w:rsid w:val="00A87440"/>
    <w:rsid w:val="00AC2D4E"/>
    <w:rsid w:val="00B05A8B"/>
    <w:rsid w:val="00C02DE0"/>
    <w:rsid w:val="00C13D3C"/>
    <w:rsid w:val="00CC7A6A"/>
    <w:rsid w:val="00D06740"/>
    <w:rsid w:val="00D50F56"/>
    <w:rsid w:val="00D93F41"/>
    <w:rsid w:val="00E921BA"/>
    <w:rsid w:val="00F514C4"/>
    <w:rsid w:val="00F53937"/>
    <w:rsid w:val="00F6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199"/>
  <w15:docId w15:val="{8722F23B-D67C-4AB0-B638-538801E6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7B9"/>
    <w:pPr>
      <w:framePr w:w="7920" w:h="1980" w:hRule="exact" w:hSpace="180" w:wrap="auto" w:hAnchor="page" w:xAlign="center" w:yAlign="bottom"/>
      <w:spacing w:after="0" w:line="240" w:lineRule="auto"/>
      <w:ind w:left="2880"/>
    </w:pPr>
    <w:rPr>
      <w:rFonts w:ascii="Copperplate Gothic Light" w:eastAsiaTheme="majorEastAsia" w:hAnsi="Copperplate Gothic Light" w:cstheme="majorBidi"/>
      <w:sz w:val="26"/>
      <w:szCs w:val="24"/>
    </w:rPr>
  </w:style>
  <w:style w:type="paragraph" w:styleId="Footer">
    <w:name w:val="footer"/>
    <w:basedOn w:val="Normal"/>
    <w:link w:val="FooterChar"/>
    <w:uiPriority w:val="99"/>
    <w:unhideWhenUsed/>
    <w:rsid w:val="00C13D3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13D3C"/>
    <w:rPr>
      <w:rFonts w:ascii="Calibri" w:eastAsia="Calibri" w:hAnsi="Calibri" w:cs="Times New Roman"/>
    </w:rPr>
  </w:style>
  <w:style w:type="paragraph" w:styleId="Header">
    <w:name w:val="header"/>
    <w:basedOn w:val="Normal"/>
    <w:link w:val="HeaderChar"/>
    <w:uiPriority w:val="99"/>
    <w:unhideWhenUsed/>
    <w:rsid w:val="00C1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3C"/>
  </w:style>
  <w:style w:type="paragraph" w:styleId="BalloonText">
    <w:name w:val="Balloon Text"/>
    <w:basedOn w:val="Normal"/>
    <w:link w:val="BalloonTextChar"/>
    <w:uiPriority w:val="99"/>
    <w:semiHidden/>
    <w:unhideWhenUsed/>
    <w:rsid w:val="0060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5C"/>
    <w:rPr>
      <w:rFonts w:ascii="Tahoma" w:hAnsi="Tahoma" w:cs="Tahoma"/>
      <w:sz w:val="16"/>
      <w:szCs w:val="16"/>
    </w:rPr>
  </w:style>
  <w:style w:type="character" w:styleId="Hyperlink">
    <w:name w:val="Hyperlink"/>
    <w:basedOn w:val="DefaultParagraphFont"/>
    <w:uiPriority w:val="99"/>
    <w:unhideWhenUsed/>
    <w:rsid w:val="00057585"/>
    <w:rPr>
      <w:color w:val="0000FF" w:themeColor="hyperlink"/>
      <w:u w:val="single"/>
    </w:rPr>
  </w:style>
  <w:style w:type="character" w:styleId="UnresolvedMention">
    <w:name w:val="Unresolved Mention"/>
    <w:basedOn w:val="DefaultParagraphFont"/>
    <w:uiPriority w:val="99"/>
    <w:semiHidden/>
    <w:unhideWhenUsed/>
    <w:rsid w:val="0005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wensborodiocese.org/wp-content/uploads/Special-Events-Form-Diocese-of-Owensboro_July2020_fillabl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Monsour, Matt</dc:creator>
  <cp:lastModifiedBy>Rachel Hall</cp:lastModifiedBy>
  <cp:revision>6</cp:revision>
  <dcterms:created xsi:type="dcterms:W3CDTF">2017-05-24T20:37:00Z</dcterms:created>
  <dcterms:modified xsi:type="dcterms:W3CDTF">2023-05-17T16:41:00Z</dcterms:modified>
</cp:coreProperties>
</file>